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FD89" w14:textId="50B20FFB" w:rsidR="009D51A8" w:rsidRDefault="00D8110E" w:rsidP="009D51A8">
      <w:pPr>
        <w:rPr>
          <w:rFonts w:asciiTheme="minorHAnsi" w:hAnsiTheme="minorHAnsi"/>
          <w:b/>
          <w:color w:val="00315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color w:val="3F9C35"/>
          <w:sz w:val="36"/>
          <w:szCs w:val="36"/>
        </w:rPr>
        <w:t>ISS and Glass Lewis – 2018 Voting Guideline Updates</w:t>
      </w:r>
      <w:r w:rsidRPr="008021F4">
        <w:rPr>
          <w:rFonts w:eastAsiaTheme="minorHAnsi" w:cstheme="minorBidi"/>
          <w:b/>
          <w:color w:val="3F9C35"/>
          <w:sz w:val="36"/>
          <w:szCs w:val="36"/>
        </w:rPr>
        <w:t xml:space="preserve"> </w:t>
      </w:r>
      <w:r w:rsidR="008021F4" w:rsidRPr="008021F4">
        <w:rPr>
          <w:rFonts w:eastAsiaTheme="minorHAnsi" w:cstheme="minorBidi"/>
          <w:b/>
          <w:color w:val="3F9C35"/>
          <w:sz w:val="36"/>
          <w:szCs w:val="36"/>
        </w:rPr>
        <w:br/>
      </w:r>
      <w:r>
        <w:rPr>
          <w:rFonts w:asciiTheme="minorHAnsi" w:hAnsiTheme="minorHAnsi"/>
          <w:b/>
          <w:color w:val="003150"/>
          <w:sz w:val="32"/>
          <w:szCs w:val="32"/>
        </w:rPr>
        <w:t>December</w:t>
      </w:r>
      <w:r w:rsidR="00F738BA">
        <w:rPr>
          <w:rFonts w:asciiTheme="minorHAnsi" w:hAnsiTheme="minorHAnsi"/>
          <w:b/>
          <w:color w:val="003150"/>
          <w:sz w:val="32"/>
          <w:szCs w:val="32"/>
        </w:rPr>
        <w:t xml:space="preserve"> 201</w:t>
      </w:r>
      <w:r>
        <w:rPr>
          <w:rFonts w:asciiTheme="minorHAnsi" w:hAnsiTheme="minorHAnsi"/>
          <w:b/>
          <w:color w:val="003150"/>
          <w:sz w:val="32"/>
          <w:szCs w:val="32"/>
        </w:rPr>
        <w:t>7</w:t>
      </w:r>
      <w:r w:rsidR="009D51A8">
        <w:rPr>
          <w:rFonts w:asciiTheme="minorHAnsi" w:hAnsiTheme="minorHAnsi"/>
          <w:b/>
          <w:color w:val="003150"/>
          <w:sz w:val="32"/>
          <w:szCs w:val="32"/>
        </w:rPr>
        <w:br/>
      </w:r>
    </w:p>
    <w:p w14:paraId="539E153F" w14:textId="4A6F7E23" w:rsidR="00D8110E" w:rsidRPr="00D8110E" w:rsidRDefault="00D8110E" w:rsidP="00D811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outline summarizes the key changes to the voting guidelines announced by ISS and Glass Lewis for the 2018 proxy season.  </w:t>
      </w:r>
    </w:p>
    <w:p w14:paraId="72A1F637" w14:textId="77777777" w:rsidR="00D8110E" w:rsidRDefault="00D8110E" w:rsidP="00D8110E">
      <w:pPr>
        <w:rPr>
          <w:rFonts w:asciiTheme="minorHAnsi" w:hAnsiTheme="minorHAnsi"/>
          <w:b/>
        </w:rPr>
      </w:pPr>
    </w:p>
    <w:p w14:paraId="37958F36" w14:textId="40935F36" w:rsidR="00D8110E" w:rsidRPr="00F51DA3" w:rsidRDefault="00D8110E" w:rsidP="00D8110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ISS Voting Policy Changes (effective for meetings held on or after February 1, 2018)</w:t>
      </w:r>
      <w:r w:rsidRPr="00F51DA3">
        <w:rPr>
          <w:rFonts w:asciiTheme="minorHAnsi" w:hAnsiTheme="minorHAnsi"/>
        </w:rPr>
        <w:t>:</w:t>
      </w:r>
    </w:p>
    <w:p w14:paraId="7FA3D0D2" w14:textId="77777777" w:rsidR="00D8110E" w:rsidRPr="00F51DA3" w:rsidRDefault="00D8110E" w:rsidP="00D8110E">
      <w:pPr>
        <w:ind w:left="360"/>
        <w:rPr>
          <w:rFonts w:asciiTheme="minorHAnsi" w:hAnsiTheme="minorHAnsi"/>
        </w:rPr>
      </w:pPr>
    </w:p>
    <w:p w14:paraId="4C5FB5E4" w14:textId="21D81471" w:rsidR="009D7FA4" w:rsidRDefault="009D7FA4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Poison Pills</w:t>
      </w:r>
    </w:p>
    <w:p w14:paraId="431BD7E5" w14:textId="242F06D0" w:rsidR="009D7FA4" w:rsidRPr="009D7FA4" w:rsidRDefault="009D7FA4" w:rsidP="009D7FA4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ISS will recommend against all board nominees every year if a company has a long-term (more than one year) poison pill that has not been approved by shareholders</w:t>
      </w:r>
    </w:p>
    <w:p w14:paraId="1B7095F7" w14:textId="4935E817" w:rsidR="00146F66" w:rsidRPr="00146F66" w:rsidRDefault="00146F66" w:rsidP="009D7FA4">
      <w:pPr>
        <w:pStyle w:val="ListParagraph"/>
        <w:numPr>
          <w:ilvl w:val="2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Pills adopted by shareholders pre-IPO are not exempt</w:t>
      </w:r>
    </w:p>
    <w:p w14:paraId="1E364CDA" w14:textId="18AB5C36" w:rsidR="009D7FA4" w:rsidRPr="009D7FA4" w:rsidRDefault="009D7FA4" w:rsidP="009D7FA4">
      <w:pPr>
        <w:pStyle w:val="ListParagraph"/>
        <w:numPr>
          <w:ilvl w:val="2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Commitments to put a long-term plan to a vote at the next annual meeting will no longer be a mitigating factor</w:t>
      </w:r>
    </w:p>
    <w:p w14:paraId="3B251535" w14:textId="34CA7B3F" w:rsidR="009D7FA4" w:rsidRPr="009D7FA4" w:rsidRDefault="009D7FA4" w:rsidP="009D7FA4">
      <w:pPr>
        <w:pStyle w:val="ListParagraph"/>
        <w:numPr>
          <w:ilvl w:val="2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Previously grandfathered pills from 2009 will no longer be exempt</w:t>
      </w:r>
    </w:p>
    <w:p w14:paraId="0E92E792" w14:textId="4005479F" w:rsidR="009D7FA4" w:rsidRDefault="009D7FA4" w:rsidP="009D7FA4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Short-term pills will continue to be assessed on a case-by-case basis based on the rationale articulated</w:t>
      </w:r>
      <w:r w:rsidR="00146F66">
        <w:rPr>
          <w:rFonts w:asciiTheme="minorHAnsi" w:hAnsiTheme="minorHAnsi"/>
        </w:rPr>
        <w:t>, including any commitment to seek shareholder approval for any renewal</w:t>
      </w:r>
    </w:p>
    <w:p w14:paraId="14BD741A" w14:textId="77777777" w:rsidR="009D7FA4" w:rsidRPr="009D7FA4" w:rsidRDefault="009D7FA4" w:rsidP="009D7FA4">
      <w:pPr>
        <w:rPr>
          <w:rFonts w:asciiTheme="minorHAnsi" w:hAnsiTheme="minorHAnsi"/>
          <w:b/>
          <w:i/>
        </w:rPr>
      </w:pPr>
    </w:p>
    <w:p w14:paraId="4A8F100F" w14:textId="2EEF4A68" w:rsidR="00D8110E" w:rsidRPr="00D8110E" w:rsidRDefault="00D8110E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</w:rPr>
      </w:pPr>
      <w:r w:rsidRPr="00D8110E">
        <w:rPr>
          <w:rFonts w:asciiTheme="minorHAnsi" w:hAnsiTheme="minorHAnsi"/>
          <w:b/>
          <w:i/>
        </w:rPr>
        <w:t>Disclosure of Shareholder Engagement in Response to Low Say-on-Pay Vote</w:t>
      </w:r>
    </w:p>
    <w:p w14:paraId="4582331A" w14:textId="0991F934" w:rsidR="00D8110E" w:rsidRDefault="00D8110E" w:rsidP="00D8110E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a company receives less than 70% support for its prior year’s say-on-pay vo</w:t>
      </w:r>
      <w:r w:rsidR="000D24BE">
        <w:rPr>
          <w:rFonts w:asciiTheme="minorHAnsi" w:hAnsiTheme="minorHAnsi"/>
        </w:rPr>
        <w:t>te, ISS will evaluate whether the company</w:t>
      </w:r>
      <w:r>
        <w:rPr>
          <w:rFonts w:asciiTheme="minorHAnsi" w:hAnsiTheme="minorHAnsi"/>
        </w:rPr>
        <w:t xml:space="preserve"> made changes that respond to the low level of support for the company’s executive compensation</w:t>
      </w:r>
      <w:r w:rsidR="00146F66">
        <w:rPr>
          <w:rFonts w:asciiTheme="minorHAnsi" w:hAnsiTheme="minorHAnsi"/>
        </w:rPr>
        <w:t xml:space="preserve"> in deciding whether to recommend against compensation committee members (or even the full board)</w:t>
      </w:r>
      <w:r>
        <w:rPr>
          <w:rFonts w:asciiTheme="minorHAnsi" w:hAnsiTheme="minorHAnsi"/>
        </w:rPr>
        <w:t>.  As part of that assessment, ISS expects companies to disclose:</w:t>
      </w:r>
    </w:p>
    <w:p w14:paraId="0066F686" w14:textId="46390D8E" w:rsidR="00D8110E" w:rsidRDefault="00D8110E" w:rsidP="00D8110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timing and frequency of engagement with shareholders,</w:t>
      </w:r>
    </w:p>
    <w:p w14:paraId="33C72B32" w14:textId="15C9E01F" w:rsidR="00D8110E" w:rsidRDefault="00D8110E" w:rsidP="00D8110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Whether independent directors participated, and</w:t>
      </w:r>
    </w:p>
    <w:p w14:paraId="0A25ED5D" w14:textId="0E78562B" w:rsidR="00D8110E" w:rsidRPr="00D8110E" w:rsidRDefault="00D8110E" w:rsidP="00D8110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Specific concerns raised by shareholders that led to the low level of support</w:t>
      </w:r>
      <w:r w:rsidR="00146F66">
        <w:rPr>
          <w:rFonts w:asciiTheme="minorHAnsi" w:hAnsiTheme="minorHAnsi"/>
        </w:rPr>
        <w:t>, and actions taken by the company in response</w:t>
      </w:r>
    </w:p>
    <w:p w14:paraId="70C971EE" w14:textId="4A678959" w:rsidR="00D8110E" w:rsidRDefault="00D8110E" w:rsidP="00D8110E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These disclosure expectations are in addition to the existing guidance the ISS has provided regarding its assessment of a company’s responsiveness to a low say-on-pay vote.  </w:t>
      </w:r>
    </w:p>
    <w:p w14:paraId="6C3A0738" w14:textId="77777777" w:rsidR="00D8110E" w:rsidRDefault="00D8110E" w:rsidP="00D8110E">
      <w:pPr>
        <w:rPr>
          <w:rFonts w:asciiTheme="minorHAnsi" w:hAnsiTheme="minorHAnsi"/>
        </w:rPr>
      </w:pPr>
    </w:p>
    <w:p w14:paraId="3B9C3ED3" w14:textId="770F34E9" w:rsidR="006F1517" w:rsidRDefault="00C43AFE" w:rsidP="006F151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Pledging by Executives and</w:t>
      </w:r>
      <w:r w:rsidR="006F1517">
        <w:rPr>
          <w:rFonts w:asciiTheme="minorHAnsi" w:hAnsiTheme="minorHAnsi"/>
          <w:b/>
          <w:i/>
        </w:rPr>
        <w:t xml:space="preserve"> Directors</w:t>
      </w:r>
      <w:r w:rsidR="006F1517">
        <w:rPr>
          <w:rFonts w:asciiTheme="minorHAnsi" w:hAnsiTheme="minorHAnsi"/>
        </w:rPr>
        <w:t xml:space="preserve"> </w:t>
      </w:r>
    </w:p>
    <w:p w14:paraId="7C08CAC6" w14:textId="3241E981" w:rsidR="006F1517" w:rsidRDefault="00146F66" w:rsidP="006F151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Consistent with its current practice, </w:t>
      </w:r>
      <w:r w:rsidR="006F1517">
        <w:rPr>
          <w:rFonts w:asciiTheme="minorHAnsi" w:hAnsiTheme="minorHAnsi"/>
        </w:rPr>
        <w:t xml:space="preserve">ISS </w:t>
      </w:r>
      <w:r>
        <w:rPr>
          <w:rFonts w:asciiTheme="minorHAnsi" w:hAnsiTheme="minorHAnsi"/>
        </w:rPr>
        <w:t>will</w:t>
      </w:r>
      <w:r w:rsidR="006F1517">
        <w:rPr>
          <w:rFonts w:asciiTheme="minorHAnsi" w:hAnsiTheme="minorHAnsi"/>
        </w:rPr>
        <w:t xml:space="preserve"> recommend against committee members, </w:t>
      </w:r>
      <w:r>
        <w:rPr>
          <w:rFonts w:asciiTheme="minorHAnsi" w:hAnsiTheme="minorHAnsi"/>
        </w:rPr>
        <w:t>or the full board, that oversee</w:t>
      </w:r>
      <w:r w:rsidR="006F1517">
        <w:rPr>
          <w:rFonts w:asciiTheme="minorHAnsi" w:hAnsiTheme="minorHAnsi"/>
        </w:rPr>
        <w:t xml:space="preserve"> stock pledging if an executive officer or director pledges a significant amount of stock.  ISS will consider the following factors in its assessment:</w:t>
      </w:r>
    </w:p>
    <w:p w14:paraId="6196A8F7" w14:textId="751832F0" w:rsidR="006F1517" w:rsidRDefault="006F1517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Existence of an anti-pledging policy disclosed in the proxy statement that prohibits future pledging activity</w:t>
      </w:r>
      <w:r w:rsidR="009D7FA4">
        <w:rPr>
          <w:rFonts w:asciiTheme="minorHAnsi" w:hAnsiTheme="minorHAnsi"/>
        </w:rPr>
        <w:t>,</w:t>
      </w:r>
    </w:p>
    <w:p w14:paraId="150C5BF4" w14:textId="3C670777" w:rsidR="006F1517" w:rsidRDefault="006F1517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number of shares pledged relative to the total shares outstanding, market volume and trading volume</w:t>
      </w:r>
      <w:r w:rsidR="009D7FA4">
        <w:rPr>
          <w:rFonts w:asciiTheme="minorHAnsi" w:hAnsiTheme="minorHAnsi"/>
        </w:rPr>
        <w:t>,</w:t>
      </w:r>
    </w:p>
    <w:p w14:paraId="5A10939E" w14:textId="579637D2" w:rsidR="006F1517" w:rsidRDefault="006F1517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Disclosure of progress in reducing the number of shares pledged</w:t>
      </w:r>
      <w:r w:rsidR="009D7FA4">
        <w:rPr>
          <w:rFonts w:asciiTheme="minorHAnsi" w:hAnsiTheme="minorHAnsi"/>
        </w:rPr>
        <w:t>, and</w:t>
      </w:r>
    </w:p>
    <w:p w14:paraId="04A7638F" w14:textId="3C8AC690" w:rsidR="006F1517" w:rsidRDefault="006F1517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Disclosure that stock ownership/holding requirements do not include pledged shares</w:t>
      </w:r>
    </w:p>
    <w:p w14:paraId="24DFE617" w14:textId="77777777" w:rsidR="006F1517" w:rsidRDefault="006F1517" w:rsidP="006F1517">
      <w:pPr>
        <w:rPr>
          <w:rFonts w:asciiTheme="minorHAnsi" w:hAnsiTheme="minorHAnsi"/>
        </w:rPr>
      </w:pPr>
    </w:p>
    <w:p w14:paraId="23684EAA" w14:textId="34556E1E" w:rsidR="006F1517" w:rsidRPr="006F1517" w:rsidRDefault="006F1517" w:rsidP="006F151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Shareholder Proposals on Gender Pay Gap</w:t>
      </w:r>
    </w:p>
    <w:p w14:paraId="4C6E4EF6" w14:textId="6A13281A" w:rsidR="006F1517" w:rsidRDefault="006F1517" w:rsidP="006F151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ISS will make case-by-case recommendations on shareholder proposals requesting reports on gender pay gap issues.  ISS will consider the following factors in its assessment:</w:t>
      </w:r>
    </w:p>
    <w:p w14:paraId="4D845DE6" w14:textId="38E85A17" w:rsidR="006F1517" w:rsidRDefault="006F1517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company’s policies and disclosure</w:t>
      </w:r>
      <w:r w:rsidR="009D7FA4">
        <w:rPr>
          <w:rFonts w:asciiTheme="minorHAnsi" w:hAnsiTheme="minorHAnsi"/>
        </w:rPr>
        <w:t xml:space="preserve"> related to diversity and inclusion and its compensation philosophy,</w:t>
      </w:r>
    </w:p>
    <w:p w14:paraId="06849ED3" w14:textId="3B5F07DF" w:rsidR="009D7FA4" w:rsidRDefault="009D7FA4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Whether the company has been the subject to recent controversy, litigation or regulatory actions related to gender pay gap issues, and</w:t>
      </w:r>
    </w:p>
    <w:p w14:paraId="44D50649" w14:textId="12BBDED1" w:rsidR="009D7FA4" w:rsidRPr="006F1517" w:rsidRDefault="009D7FA4" w:rsidP="006F1517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Whether the company’s gender pay gap reporting lags its peers</w:t>
      </w:r>
    </w:p>
    <w:p w14:paraId="739E87A7" w14:textId="77777777" w:rsidR="006F1517" w:rsidRPr="006F1517" w:rsidRDefault="006F1517" w:rsidP="006F1517">
      <w:pPr>
        <w:rPr>
          <w:rFonts w:asciiTheme="minorHAnsi" w:hAnsiTheme="minorHAnsi"/>
        </w:rPr>
      </w:pPr>
    </w:p>
    <w:p w14:paraId="57D9FF5E" w14:textId="77777777" w:rsidR="006F1517" w:rsidRDefault="006F1517" w:rsidP="006F151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Pay for Performance -  Financial Performance Assessment</w:t>
      </w:r>
    </w:p>
    <w:p w14:paraId="6126AE09" w14:textId="7C78BCA5" w:rsidR="006F1517" w:rsidRDefault="006F1517" w:rsidP="006F151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ISS will add a quantitative assessment that ranks a CEO’s total pay and company performance, within a peer group, over a three-year period, as an additional pay-for-performance measure</w:t>
      </w:r>
      <w:r w:rsidR="00146F66">
        <w:rPr>
          <w:rFonts w:asciiTheme="minorHAnsi" w:hAnsiTheme="minorHAnsi"/>
        </w:rPr>
        <w:t xml:space="preserve"> for Russell 3000 companies</w:t>
      </w:r>
      <w:r>
        <w:rPr>
          <w:rFonts w:asciiTheme="minorHAnsi" w:hAnsiTheme="minorHAnsi"/>
        </w:rPr>
        <w:t xml:space="preserve">.  </w:t>
      </w:r>
      <w:r w:rsidR="009D3A6E">
        <w:rPr>
          <w:rFonts w:asciiTheme="minorHAnsi" w:hAnsiTheme="minorHAnsi"/>
        </w:rPr>
        <w:t>Most companies will be evaluated based on three or four of the following metrics:</w:t>
      </w:r>
    </w:p>
    <w:p w14:paraId="131D3B66" w14:textId="53D38EDF" w:rsidR="009D3A6E" w:rsidRDefault="009D3A6E" w:rsidP="009D3A6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ROIC</w:t>
      </w:r>
      <w:proofErr w:type="spellEnd"/>
    </w:p>
    <w:p w14:paraId="37305256" w14:textId="4FEA21FE" w:rsidR="009D3A6E" w:rsidRDefault="009D3A6E" w:rsidP="009D3A6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ROA</w:t>
      </w:r>
      <w:proofErr w:type="spellEnd"/>
    </w:p>
    <w:p w14:paraId="761CF4D9" w14:textId="41D96817" w:rsidR="009D3A6E" w:rsidRDefault="009D3A6E" w:rsidP="009D3A6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ROE</w:t>
      </w:r>
    </w:p>
    <w:p w14:paraId="6426DC2C" w14:textId="4C7B079B" w:rsidR="009D3A6E" w:rsidRPr="00D8110E" w:rsidRDefault="009D3A6E" w:rsidP="009D3A6E">
      <w:pPr>
        <w:pStyle w:val="ListParagraph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EBITDA Growth</w:t>
      </w:r>
    </w:p>
    <w:p w14:paraId="1961CBF4" w14:textId="77777777" w:rsidR="006F1517" w:rsidRDefault="006F1517" w:rsidP="00D8110E">
      <w:pPr>
        <w:rPr>
          <w:rFonts w:asciiTheme="minorHAnsi" w:hAnsiTheme="minorHAnsi"/>
        </w:rPr>
      </w:pPr>
    </w:p>
    <w:p w14:paraId="7BCA34A1" w14:textId="175204EB" w:rsidR="00146F66" w:rsidRDefault="00146F66" w:rsidP="009D7F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Director Attendance</w:t>
      </w:r>
    </w:p>
    <w:p w14:paraId="40936B96" w14:textId="721EF7E2" w:rsidR="00146F66" w:rsidRDefault="00146F66" w:rsidP="00146F66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Directors who served for only part of the fiscal year and have not yet been elected by shareholders will generally be exempt from ISS’s director attendance policy</w:t>
      </w:r>
    </w:p>
    <w:p w14:paraId="2A3FF176" w14:textId="77777777" w:rsidR="00146F66" w:rsidRPr="00146F66" w:rsidRDefault="00146F66" w:rsidP="00146F66">
      <w:pPr>
        <w:pStyle w:val="ListParagraph"/>
        <w:ind w:left="1440"/>
        <w:rPr>
          <w:rFonts w:asciiTheme="minorHAnsi" w:hAnsiTheme="minorHAnsi"/>
        </w:rPr>
      </w:pPr>
    </w:p>
    <w:p w14:paraId="398E7874" w14:textId="430810FA" w:rsidR="00146F66" w:rsidRPr="00146F66" w:rsidRDefault="00146F66" w:rsidP="009D7F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Board Diversity</w:t>
      </w:r>
    </w:p>
    <w:p w14:paraId="56D4B357" w14:textId="0C5D8BD5" w:rsidR="00146F66" w:rsidRDefault="00146F66" w:rsidP="00146F66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ISS will “highlight” companies that do not have any gender diversity on the board, but it will not affect voting recommendations</w:t>
      </w:r>
    </w:p>
    <w:p w14:paraId="291885E6" w14:textId="046ABF98" w:rsidR="00146F66" w:rsidRDefault="00146F66" w:rsidP="00146F66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ISS also changed its “Fundamental Principles” to state that boards should be sufficiently diverse to ensure consideration of a wide range of perspectives</w:t>
      </w:r>
    </w:p>
    <w:p w14:paraId="2126888B" w14:textId="77777777" w:rsidR="00146F66" w:rsidRPr="00146F66" w:rsidRDefault="00146F66" w:rsidP="00146F66">
      <w:pPr>
        <w:pStyle w:val="ListParagraph"/>
        <w:ind w:left="1440"/>
        <w:rPr>
          <w:rFonts w:asciiTheme="minorHAnsi" w:hAnsiTheme="minorHAnsi"/>
        </w:rPr>
      </w:pPr>
    </w:p>
    <w:p w14:paraId="3F3282DA" w14:textId="205CABF2" w:rsidR="009D3A6E" w:rsidRPr="009D3A6E" w:rsidRDefault="009D3A6E" w:rsidP="009D7F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Shareholder Proposals on Climate Change </w:t>
      </w:r>
    </w:p>
    <w:p w14:paraId="1E3D394F" w14:textId="2B3E8389" w:rsidR="009D3A6E" w:rsidRPr="009D3A6E" w:rsidRDefault="009D3A6E" w:rsidP="009D3A6E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9D3A6E">
        <w:rPr>
          <w:rFonts w:asciiTheme="minorHAnsi" w:hAnsiTheme="minorHAnsi"/>
        </w:rPr>
        <w:t xml:space="preserve">ISS issued additional guidance on shareholder proposals requesting disclosure of operational and investment risk related to climate change to more closely align with </w:t>
      </w:r>
      <w:r w:rsidR="000D24BE">
        <w:rPr>
          <w:rFonts w:asciiTheme="minorHAnsi" w:hAnsiTheme="minorHAnsi"/>
        </w:rPr>
        <w:t>recommendations of t</w:t>
      </w:r>
      <w:r w:rsidRPr="009D3A6E">
        <w:rPr>
          <w:rFonts w:asciiTheme="minorHAnsi" w:hAnsiTheme="minorHAnsi"/>
        </w:rPr>
        <w:t>he Task Force on Climate-Related Financial Disclosures</w:t>
      </w:r>
    </w:p>
    <w:p w14:paraId="1FB53FFE" w14:textId="77777777" w:rsidR="009D3A6E" w:rsidRPr="009D3A6E" w:rsidRDefault="009D3A6E" w:rsidP="009D3A6E">
      <w:pPr>
        <w:rPr>
          <w:rFonts w:asciiTheme="minorHAnsi" w:hAnsiTheme="minorHAnsi"/>
        </w:rPr>
      </w:pPr>
    </w:p>
    <w:p w14:paraId="24DBD47C" w14:textId="45085716" w:rsidR="009D7FA4" w:rsidRDefault="009D7FA4" w:rsidP="009D7F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Change in Director Classifications</w:t>
      </w:r>
    </w:p>
    <w:p w14:paraId="6C01C9F8" w14:textId="040BABC7" w:rsidR="009D7FA4" w:rsidRDefault="009D7FA4" w:rsidP="009D7FA4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 a substantive change, but ISS will now classify directors in the following categories:</w:t>
      </w:r>
    </w:p>
    <w:p w14:paraId="1BAE2D47" w14:textId="281F129D" w:rsidR="009D7FA4" w:rsidRDefault="009D7FA4" w:rsidP="009D7FA4">
      <w:pPr>
        <w:pStyle w:val="ListParagraph"/>
        <w:numPr>
          <w:ilvl w:val="2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Executive Director (previously Inside Director)</w:t>
      </w:r>
    </w:p>
    <w:p w14:paraId="4EC9A07F" w14:textId="37387FE4" w:rsidR="009D7FA4" w:rsidRDefault="009D7FA4" w:rsidP="009D7FA4">
      <w:pPr>
        <w:pStyle w:val="ListParagraph"/>
        <w:numPr>
          <w:ilvl w:val="2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Non-Independent Non-Executive Director (previously Affiliated Outside Director)</w:t>
      </w:r>
    </w:p>
    <w:p w14:paraId="4B19C8C8" w14:textId="0D8F2280" w:rsidR="009D7FA4" w:rsidRPr="009D7FA4" w:rsidRDefault="009D7FA4" w:rsidP="009D7FA4">
      <w:pPr>
        <w:pStyle w:val="ListParagraph"/>
        <w:numPr>
          <w:ilvl w:val="2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Independent Director (previously Outside Director)</w:t>
      </w:r>
    </w:p>
    <w:p w14:paraId="54AF71D7" w14:textId="77777777" w:rsidR="009D7FA4" w:rsidRDefault="009D7FA4" w:rsidP="00D8110E">
      <w:pPr>
        <w:rPr>
          <w:rFonts w:asciiTheme="minorHAnsi" w:hAnsiTheme="minorHAnsi"/>
        </w:rPr>
      </w:pPr>
    </w:p>
    <w:p w14:paraId="121ADAD6" w14:textId="510DE076" w:rsidR="006F1517" w:rsidRPr="006F1517" w:rsidRDefault="006F1517" w:rsidP="000D24BE">
      <w:pPr>
        <w:keepNext/>
        <w:keepLines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>Beginning in 2019</w:t>
      </w:r>
    </w:p>
    <w:p w14:paraId="2B4A00CF" w14:textId="77777777" w:rsidR="006F1517" w:rsidRDefault="006F1517" w:rsidP="000D24BE">
      <w:pPr>
        <w:keepNext/>
        <w:keepLines/>
        <w:rPr>
          <w:rFonts w:asciiTheme="minorHAnsi" w:hAnsiTheme="minorHAnsi"/>
        </w:rPr>
      </w:pPr>
    </w:p>
    <w:p w14:paraId="7F1D45B4" w14:textId="4E544654" w:rsidR="006F1517" w:rsidRPr="006F1517" w:rsidRDefault="006F1517" w:rsidP="000D24BE">
      <w:pPr>
        <w:pStyle w:val="ListParagraph"/>
        <w:keepNext/>
        <w:keepLines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Non-Employee Director Compensation</w:t>
      </w:r>
    </w:p>
    <w:p w14:paraId="21081682" w14:textId="74AFE852" w:rsidR="006F1517" w:rsidRPr="006F1517" w:rsidRDefault="006F1517" w:rsidP="000D24BE">
      <w:pPr>
        <w:pStyle w:val="ListParagraph"/>
        <w:keepNext/>
        <w:keepLines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ISS will recommend against/withhold from board or committee members who approve non-employee director compensation if there is a recurring pattern of excessive non-employee director compensation unless the company provides a compelling rationale or has other mitigating factors.  This will be triggered if a company’s executive comp</w:t>
      </w:r>
      <w:r w:rsidR="00146F66">
        <w:rPr>
          <w:rFonts w:asciiTheme="minorHAnsi" w:hAnsiTheme="minorHAnsi"/>
        </w:rPr>
        <w:t>ensation is excessive compared to its peers</w:t>
      </w:r>
      <w:r>
        <w:rPr>
          <w:rFonts w:asciiTheme="minorHAnsi" w:hAnsiTheme="minorHAnsi"/>
        </w:rPr>
        <w:t xml:space="preserve"> for two or more consecutive years.  </w:t>
      </w:r>
    </w:p>
    <w:p w14:paraId="473104C3" w14:textId="77777777" w:rsidR="00D8110E" w:rsidRDefault="00D8110E" w:rsidP="00D8110E">
      <w:pPr>
        <w:pStyle w:val="ListParagraph"/>
        <w:rPr>
          <w:rFonts w:asciiTheme="minorHAnsi" w:hAnsiTheme="minorHAnsi"/>
          <w:b/>
          <w:u w:val="single"/>
        </w:rPr>
      </w:pPr>
    </w:p>
    <w:p w14:paraId="3E907A8A" w14:textId="6C897AF8" w:rsidR="00D8110E" w:rsidRPr="00F51DA3" w:rsidRDefault="00D8110E" w:rsidP="00D8110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Glass Lewis Voting Guideline Changes</w:t>
      </w:r>
      <w:r w:rsidRPr="00F51DA3">
        <w:rPr>
          <w:rFonts w:asciiTheme="minorHAnsi" w:hAnsiTheme="minorHAnsi"/>
        </w:rPr>
        <w:t>:</w:t>
      </w:r>
    </w:p>
    <w:p w14:paraId="47B9E7D5" w14:textId="77777777" w:rsidR="00D8110E" w:rsidRPr="00F51DA3" w:rsidRDefault="00D8110E" w:rsidP="00D8110E">
      <w:pPr>
        <w:ind w:left="360"/>
        <w:rPr>
          <w:rFonts w:asciiTheme="minorHAnsi" w:hAnsiTheme="minorHAnsi"/>
        </w:rPr>
      </w:pPr>
    </w:p>
    <w:p w14:paraId="7EFB1DEC" w14:textId="50AFA4BE" w:rsidR="00DB660A" w:rsidRPr="000D24BE" w:rsidRDefault="00DB660A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  <w:u w:val="single"/>
        </w:rPr>
      </w:pPr>
      <w:r w:rsidRPr="00DB660A">
        <w:rPr>
          <w:rFonts w:asciiTheme="minorHAnsi" w:hAnsiTheme="minorHAnsi"/>
          <w:b/>
          <w:i/>
        </w:rPr>
        <w:t>Dual-Class Share Structures</w:t>
      </w:r>
    </w:p>
    <w:p w14:paraId="516E0A0E" w14:textId="17EEBE89" w:rsidR="000D24BE" w:rsidRPr="00DB660A" w:rsidRDefault="000D24BE" w:rsidP="000D24BE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</w:rPr>
        <w:t xml:space="preserve">Glass Lewis will consider the adoption of dual-class share structures with more scrutiny, particularly for newly-public companies (such as IPOs or spin-offs), in determining whether to recommend against board members for having anti-takeover provisions or restrictions on shareholder rights.  Established companies with dual-class structures will be less impacted.  </w:t>
      </w:r>
    </w:p>
    <w:p w14:paraId="5686B75C" w14:textId="77777777" w:rsidR="000D24BE" w:rsidRPr="000D24BE" w:rsidRDefault="000D24BE" w:rsidP="000D24BE">
      <w:pPr>
        <w:pStyle w:val="ListParagraph"/>
        <w:rPr>
          <w:rFonts w:asciiTheme="minorHAnsi" w:hAnsiTheme="minorHAnsi"/>
          <w:b/>
          <w:i/>
          <w:u w:val="single"/>
        </w:rPr>
      </w:pPr>
    </w:p>
    <w:p w14:paraId="7D4FE609" w14:textId="5126EA6F" w:rsidR="00DB660A" w:rsidRPr="000D24BE" w:rsidRDefault="00DB660A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  <w:u w:val="single"/>
        </w:rPr>
      </w:pPr>
      <w:r w:rsidRPr="00DB660A">
        <w:rPr>
          <w:rFonts w:asciiTheme="minorHAnsi" w:hAnsiTheme="minorHAnsi"/>
          <w:b/>
          <w:i/>
        </w:rPr>
        <w:t>Board Responsiveness</w:t>
      </w:r>
    </w:p>
    <w:p w14:paraId="3D1058D9" w14:textId="7331BF59" w:rsidR="000D24BE" w:rsidRPr="000D24BE" w:rsidRDefault="000D24BE" w:rsidP="000D24BE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</w:rPr>
        <w:t>Glass Lewis will evaluate board responsiveness to key company proposals (election of directors and say-on-pay) if more than 20% of the votes were cast against the proposal (instead of the prior 25% vote against threshold for heightened scrutiny).</w:t>
      </w:r>
    </w:p>
    <w:p w14:paraId="63B0080D" w14:textId="77777777" w:rsidR="000D24BE" w:rsidRPr="00DB660A" w:rsidRDefault="000D24BE" w:rsidP="000D24BE">
      <w:pPr>
        <w:pStyle w:val="ListParagraph"/>
        <w:ind w:left="1440"/>
        <w:rPr>
          <w:rFonts w:asciiTheme="minorHAnsi" w:hAnsiTheme="minorHAnsi"/>
          <w:b/>
          <w:i/>
          <w:u w:val="single"/>
        </w:rPr>
      </w:pPr>
    </w:p>
    <w:p w14:paraId="09DE6CAD" w14:textId="77777777" w:rsidR="00DB660A" w:rsidRPr="000D24BE" w:rsidRDefault="00DB660A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  <w:u w:val="single"/>
        </w:rPr>
      </w:pPr>
      <w:r w:rsidRPr="00DB660A">
        <w:rPr>
          <w:rFonts w:asciiTheme="minorHAnsi" w:hAnsiTheme="minorHAnsi"/>
          <w:b/>
          <w:i/>
        </w:rPr>
        <w:t>Director Commitments</w:t>
      </w:r>
    </w:p>
    <w:p w14:paraId="09353232" w14:textId="3AD49A61" w:rsidR="000D24BE" w:rsidRPr="007D1141" w:rsidRDefault="007D1141" w:rsidP="000D24BE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</w:rPr>
        <w:t xml:space="preserve">Glass Lewis clarified that if a director is an executive officer, but not a CEO, of another company, Glass Lewis will decide whether its </w:t>
      </w:r>
      <w:proofErr w:type="spellStart"/>
      <w:r>
        <w:rPr>
          <w:rFonts w:asciiTheme="minorHAnsi" w:hAnsiTheme="minorHAnsi"/>
        </w:rPr>
        <w:t>overboarding</w:t>
      </w:r>
      <w:proofErr w:type="spellEnd"/>
      <w:r>
        <w:rPr>
          <w:rFonts w:asciiTheme="minorHAnsi" w:hAnsiTheme="minorHAnsi"/>
        </w:rPr>
        <w:t xml:space="preserve"> policy limiting boards to a total of two should apply to that director based on their specific duties and responsibilities in their executive role and the company’s disclosure regarding the director’s time commitments.  </w:t>
      </w:r>
    </w:p>
    <w:p w14:paraId="29E7C09A" w14:textId="77777777" w:rsidR="007D1141" w:rsidRPr="00DB660A" w:rsidRDefault="007D1141" w:rsidP="007D1141">
      <w:pPr>
        <w:pStyle w:val="ListParagraph"/>
        <w:ind w:left="1440"/>
        <w:rPr>
          <w:rFonts w:asciiTheme="minorHAnsi" w:hAnsiTheme="minorHAnsi"/>
          <w:b/>
          <w:i/>
          <w:u w:val="single"/>
        </w:rPr>
      </w:pPr>
    </w:p>
    <w:p w14:paraId="3BF2BCD4" w14:textId="77777777" w:rsidR="00DB660A" w:rsidRPr="007D1141" w:rsidRDefault="00DB660A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  <w:u w:val="single"/>
        </w:rPr>
      </w:pPr>
      <w:r w:rsidRPr="00DB660A">
        <w:rPr>
          <w:rFonts w:asciiTheme="minorHAnsi" w:hAnsiTheme="minorHAnsi"/>
          <w:b/>
          <w:i/>
        </w:rPr>
        <w:t>CEO Pay Ratio</w:t>
      </w:r>
    </w:p>
    <w:p w14:paraId="09334B31" w14:textId="2739E8F2" w:rsidR="007D1141" w:rsidRPr="007D1141" w:rsidRDefault="007D1141" w:rsidP="007D1141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</w:rPr>
        <w:t>Glass Lewis noted that they will disclose the CEO pay ratio in its proxy papers, but it won’t factor into voting recommendations at this time.</w:t>
      </w:r>
    </w:p>
    <w:p w14:paraId="6C08C351" w14:textId="77777777" w:rsidR="007D1141" w:rsidRPr="00DB660A" w:rsidRDefault="007D1141" w:rsidP="007D1141">
      <w:pPr>
        <w:pStyle w:val="ListParagraph"/>
        <w:ind w:left="1440"/>
        <w:rPr>
          <w:rFonts w:asciiTheme="minorHAnsi" w:hAnsiTheme="minorHAnsi"/>
          <w:b/>
          <w:i/>
          <w:u w:val="single"/>
        </w:rPr>
      </w:pPr>
    </w:p>
    <w:p w14:paraId="210E09B4" w14:textId="77777777" w:rsidR="00DB660A" w:rsidRPr="007D1141" w:rsidRDefault="00DB660A" w:rsidP="00D8110E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  <w:u w:val="single"/>
        </w:rPr>
      </w:pPr>
      <w:r w:rsidRPr="00DB660A">
        <w:rPr>
          <w:rFonts w:asciiTheme="minorHAnsi" w:hAnsiTheme="minorHAnsi"/>
          <w:b/>
          <w:i/>
        </w:rPr>
        <w:t>Pay for Performance</w:t>
      </w:r>
    </w:p>
    <w:p w14:paraId="73AA62C1" w14:textId="359C20DA" w:rsidR="007D1141" w:rsidRPr="00DB660A" w:rsidRDefault="007D1141" w:rsidP="007D1141">
      <w:pPr>
        <w:pStyle w:val="ListParagraph"/>
        <w:numPr>
          <w:ilvl w:val="1"/>
          <w:numId w:val="3"/>
        </w:num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</w:rPr>
        <w:t xml:space="preserve">Glass Lewis clarified that its pay-for-performance rating system, which uses grades (A, B, C, D, etc.) are based on ratings relative to peers, not an objective grading system.  As a result, a grade of “C” means that pay and performance are aligned.  Glass Lewis will continue to recommend against compensation committee members at companies with a pattern of failing Glass Lewis’ pay-for-performance analysis.  </w:t>
      </w:r>
    </w:p>
    <w:p w14:paraId="5CFC8222" w14:textId="77777777" w:rsidR="00DB660A" w:rsidRDefault="00DB660A" w:rsidP="00DB660A">
      <w:pPr>
        <w:rPr>
          <w:rFonts w:asciiTheme="minorHAnsi" w:hAnsiTheme="minorHAnsi"/>
          <w:b/>
          <w:u w:val="single"/>
        </w:rPr>
      </w:pPr>
    </w:p>
    <w:p w14:paraId="5926C92F" w14:textId="77777777" w:rsidR="00DB660A" w:rsidRPr="006F1517" w:rsidRDefault="00DB660A" w:rsidP="00C43AFE">
      <w:pPr>
        <w:keepNext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>Beginning in 2019</w:t>
      </w:r>
    </w:p>
    <w:p w14:paraId="25E18E8F" w14:textId="77777777" w:rsidR="00DB660A" w:rsidRDefault="00DB660A" w:rsidP="00C43AFE">
      <w:pPr>
        <w:keepNext/>
        <w:rPr>
          <w:rFonts w:asciiTheme="minorHAnsi" w:hAnsiTheme="minorHAnsi"/>
          <w:b/>
          <w:u w:val="single"/>
        </w:rPr>
      </w:pPr>
    </w:p>
    <w:p w14:paraId="78312C4E" w14:textId="117DAFB0" w:rsidR="00DB660A" w:rsidRDefault="00DB660A" w:rsidP="00C43AFE">
      <w:pPr>
        <w:pStyle w:val="ListParagraph"/>
        <w:keepNext/>
        <w:numPr>
          <w:ilvl w:val="0"/>
          <w:numId w:val="19"/>
        </w:numPr>
        <w:rPr>
          <w:rFonts w:asciiTheme="minorHAnsi" w:hAnsiTheme="minorHAnsi"/>
          <w:b/>
          <w:i/>
        </w:rPr>
      </w:pPr>
      <w:r w:rsidRPr="00DB660A">
        <w:rPr>
          <w:rFonts w:asciiTheme="minorHAnsi" w:hAnsiTheme="minorHAnsi"/>
          <w:b/>
          <w:i/>
        </w:rPr>
        <w:t>Board Gender Diversity</w:t>
      </w:r>
    </w:p>
    <w:p w14:paraId="58D35F9C" w14:textId="18DEC08D" w:rsidR="000D24BE" w:rsidRPr="000D24BE" w:rsidRDefault="000D24BE" w:rsidP="00C43AFE">
      <w:pPr>
        <w:pStyle w:val="ListParagraph"/>
        <w:keepNext/>
        <w:numPr>
          <w:ilvl w:val="1"/>
          <w:numId w:val="19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Beginning in 2019, Glass Lewis will recommend voting against/withhold from nominating committee chairs (or other board members) of boards with no female directors unless the company has disclosed a sufficient rationale or a plan to address the lack of diversity.  This policy will likely apply only to Russell 3000 companies.</w:t>
      </w:r>
    </w:p>
    <w:p w14:paraId="065F80D9" w14:textId="77777777" w:rsidR="000D24BE" w:rsidRPr="00DB660A" w:rsidRDefault="000D24BE" w:rsidP="000D24BE">
      <w:pPr>
        <w:pStyle w:val="ListParagraph"/>
        <w:ind w:left="1440"/>
        <w:rPr>
          <w:rFonts w:asciiTheme="minorHAnsi" w:hAnsiTheme="minorHAnsi"/>
          <w:b/>
          <w:i/>
        </w:rPr>
      </w:pPr>
    </w:p>
    <w:p w14:paraId="4000E39F" w14:textId="7CFFB0DE" w:rsidR="00DB660A" w:rsidRPr="000D24BE" w:rsidRDefault="00DB660A" w:rsidP="00DB660A">
      <w:pPr>
        <w:pStyle w:val="ListParagraph"/>
        <w:numPr>
          <w:ilvl w:val="0"/>
          <w:numId w:val="19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i/>
        </w:rPr>
        <w:t>Virtual Shareholder Meetings</w:t>
      </w:r>
    </w:p>
    <w:p w14:paraId="348DB225" w14:textId="137FF9E3" w:rsidR="000D24BE" w:rsidRPr="00DB660A" w:rsidRDefault="000D24BE" w:rsidP="000D24BE">
      <w:pPr>
        <w:pStyle w:val="ListParagraph"/>
        <w:numPr>
          <w:ilvl w:val="1"/>
          <w:numId w:val="19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Beginning in 2019, Glass Lewis will recommend against governance committee members that plan to hold virtual-only meetings unless they provide the same rights to participate as are available at an in-person meeting.  </w:t>
      </w:r>
      <w:r w:rsidR="007D1141">
        <w:rPr>
          <w:rFonts w:asciiTheme="minorHAnsi" w:hAnsiTheme="minorHAnsi"/>
        </w:rPr>
        <w:t>Companies holding virtual-only meetings should ensure that the proxy statement discloses the rights of shareholders participating at virtual-only meetings.</w:t>
      </w:r>
    </w:p>
    <w:sectPr w:rsidR="000D24BE" w:rsidRPr="00DB660A" w:rsidSect="00540FB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08" w:bottom="1008" w:left="1008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FDB7" w14:textId="77777777" w:rsidR="00DF5FB8" w:rsidRDefault="00497898">
      <w:r>
        <w:separator/>
      </w:r>
    </w:p>
  </w:endnote>
  <w:endnote w:type="continuationSeparator" w:id="0">
    <w:p w14:paraId="5C94FDB8" w14:textId="77777777" w:rsidR="00DF5FB8" w:rsidRDefault="004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C" w14:textId="48A95DCA" w:rsidR="00DF5FB8" w:rsidRDefault="00497898">
    <w:pPr>
      <w:pStyle w:val="Footer"/>
      <w:rPr>
        <w:rFonts w:ascii="Calibri" w:hAnsi="Calibri"/>
        <w:color w:val="000000"/>
        <w:sz w:val="16"/>
      </w:rPr>
    </w:pPr>
    <w:r>
      <w:rPr>
        <w:rStyle w:val="DocID"/>
        <w:rFonts w:ascii="Calibri" w:hAnsi="Calibri"/>
      </w:rPr>
      <w:t>Faegre Baker Daniels LLP</w:t>
    </w:r>
    <w:r>
      <w:rPr>
        <w:rStyle w:val="DocID"/>
        <w:rFonts w:ascii="Calibri" w:hAnsi="Calibri"/>
      </w:rPr>
      <w:ptab w:relativeTo="margin" w:alignment="center" w:leader="none"/>
    </w:r>
    <w:r w:rsidR="00F738BA" w:rsidRPr="00F738BA">
      <w:rPr>
        <w:rStyle w:val="DocID"/>
        <w:rFonts w:ascii="Calibri" w:hAnsi="Calibri"/>
      </w:rPr>
      <w:t xml:space="preserve"> </w:t>
    </w:r>
    <w:r w:rsidR="001D14D0">
      <w:rPr>
        <w:rStyle w:val="DocID"/>
        <w:rFonts w:ascii="Calibri" w:hAnsi="Calibri"/>
      </w:rPr>
      <w:t xml:space="preserve">ISS and Glass Lewis – 2018 Voting Guidelines Updates </w:t>
    </w:r>
    <w:r>
      <w:rPr>
        <w:rStyle w:val="DocID"/>
        <w:rFonts w:ascii="Calibri" w:hAnsi="Calibri"/>
      </w:rPr>
      <w:ptab w:relativeTo="margin" w:alignment="right" w:leader="none"/>
    </w:r>
    <w:r>
      <w:rPr>
        <w:rStyle w:val="DocID"/>
        <w:rFonts w:ascii="Calibri" w:hAnsi="Calibri"/>
      </w:rPr>
      <w:t xml:space="preserve">Page </w:t>
    </w:r>
    <w:r>
      <w:rPr>
        <w:rStyle w:val="DocID"/>
        <w:rFonts w:ascii="Calibri" w:hAnsi="Calibri"/>
      </w:rPr>
      <w:fldChar w:fldCharType="begin"/>
    </w:r>
    <w:r>
      <w:rPr>
        <w:rStyle w:val="DocID"/>
        <w:rFonts w:ascii="Calibri" w:hAnsi="Calibri"/>
      </w:rPr>
      <w:instrText xml:space="preserve"> PAGE   \* MERGEFORMAT </w:instrText>
    </w:r>
    <w:r>
      <w:rPr>
        <w:rStyle w:val="DocID"/>
        <w:rFonts w:ascii="Calibri" w:hAnsi="Calibri"/>
      </w:rPr>
      <w:fldChar w:fldCharType="separate"/>
    </w:r>
    <w:r w:rsidR="000F312D">
      <w:rPr>
        <w:rStyle w:val="DocID"/>
        <w:rFonts w:ascii="Calibri" w:hAnsi="Calibri"/>
        <w:noProof/>
      </w:rPr>
      <w:t>4</w:t>
    </w:r>
    <w:r>
      <w:rPr>
        <w:rStyle w:val="DocID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E" w14:textId="6E1511A7" w:rsidR="00DF5FB8" w:rsidRDefault="00497898">
    <w:pPr>
      <w:pStyle w:val="Footer"/>
      <w:rPr>
        <w:rFonts w:ascii="Calibri" w:hAnsi="Calibri"/>
        <w:color w:val="000000"/>
        <w:sz w:val="16"/>
      </w:rPr>
    </w:pPr>
    <w:r>
      <w:rPr>
        <w:rStyle w:val="DocID"/>
        <w:rFonts w:ascii="Calibri" w:hAnsi="Calibri"/>
      </w:rPr>
      <w:t>Faegre Baker Daniels LLP</w:t>
    </w:r>
    <w:r>
      <w:rPr>
        <w:rStyle w:val="DocID"/>
        <w:rFonts w:ascii="Calibri" w:hAnsi="Calibri"/>
      </w:rPr>
      <w:ptab w:relativeTo="margin" w:alignment="center" w:leader="none"/>
    </w:r>
    <w:r w:rsidR="00B57063">
      <w:rPr>
        <w:rStyle w:val="DocID"/>
        <w:rFonts w:ascii="Calibri" w:hAnsi="Calibri"/>
      </w:rPr>
      <w:t>ISS and Glass Lewis – 2018 Voting Guidelines Updates</w:t>
    </w:r>
    <w:r>
      <w:rPr>
        <w:rStyle w:val="DocID"/>
        <w:rFonts w:ascii="Calibri" w:hAnsi="Calibri"/>
      </w:rPr>
      <w:ptab w:relativeTo="margin" w:alignment="right" w:leader="none"/>
    </w:r>
    <w:r>
      <w:rPr>
        <w:rStyle w:val="DocID"/>
        <w:rFonts w:ascii="Calibri" w:hAnsi="Calibri"/>
      </w:rPr>
      <w:t xml:space="preserve">Page </w:t>
    </w:r>
    <w:r>
      <w:rPr>
        <w:rStyle w:val="DocID"/>
        <w:rFonts w:ascii="Calibri" w:hAnsi="Calibri"/>
      </w:rPr>
      <w:fldChar w:fldCharType="begin"/>
    </w:r>
    <w:r>
      <w:rPr>
        <w:rStyle w:val="DocID"/>
        <w:rFonts w:ascii="Calibri" w:hAnsi="Calibri"/>
      </w:rPr>
      <w:instrText xml:space="preserve"> PAGE   \* MERGEFORMAT </w:instrText>
    </w:r>
    <w:r>
      <w:rPr>
        <w:rStyle w:val="DocID"/>
        <w:rFonts w:ascii="Calibri" w:hAnsi="Calibri"/>
      </w:rPr>
      <w:fldChar w:fldCharType="separate"/>
    </w:r>
    <w:r w:rsidR="000F312D">
      <w:rPr>
        <w:rStyle w:val="DocID"/>
        <w:rFonts w:ascii="Calibri" w:hAnsi="Calibri"/>
        <w:noProof/>
      </w:rPr>
      <w:t>1</w:t>
    </w:r>
    <w:r>
      <w:rPr>
        <w:rStyle w:val="DocID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FDB5" w14:textId="77777777" w:rsidR="00DF5FB8" w:rsidRDefault="00497898">
      <w:r>
        <w:separator/>
      </w:r>
    </w:p>
  </w:footnote>
  <w:footnote w:type="continuationSeparator" w:id="0">
    <w:p w14:paraId="5C94FDB6" w14:textId="77777777" w:rsidR="00DF5FB8" w:rsidRDefault="0049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A" w14:textId="77777777" w:rsidR="00DF5FB8" w:rsidRDefault="00497898">
    <w:pPr>
      <w:pStyle w:val="Header"/>
      <w:spacing w:after="60"/>
    </w:pPr>
    <w:r>
      <w:rPr>
        <w:noProof/>
      </w:rPr>
      <w:drawing>
        <wp:inline distT="0" distB="0" distL="0" distR="0" wp14:anchorId="5C94FDBF" wp14:editId="5C94FDC0">
          <wp:extent cx="6400800" cy="457200"/>
          <wp:effectExtent l="19050" t="0" r="0" b="0"/>
          <wp:docPr id="33" name="Picture 1" descr="law-web-otherpages-printstyle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-web-otherpages-printstyle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D" w14:textId="77777777" w:rsidR="00DF5FB8" w:rsidRDefault="00497898">
    <w:pPr>
      <w:pStyle w:val="Header"/>
      <w:spacing w:after="60"/>
    </w:pPr>
    <w:r>
      <w:rPr>
        <w:noProof/>
      </w:rPr>
      <w:drawing>
        <wp:inline distT="0" distB="0" distL="0" distR="0" wp14:anchorId="5C94FDC1" wp14:editId="5C94FDC2">
          <wp:extent cx="6400800" cy="914400"/>
          <wp:effectExtent l="19050" t="0" r="0" b="0"/>
          <wp:docPr id="2" name="Picture 0" descr="FBD-MarketingPaper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D-MarketingPaper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F1"/>
    <w:multiLevelType w:val="hybridMultilevel"/>
    <w:tmpl w:val="C8DC3210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1FAA"/>
    <w:multiLevelType w:val="multilevel"/>
    <w:tmpl w:val="86CA63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720" w:firstLine="720"/>
      </w:pPr>
      <w:rPr>
        <w:rFonts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C008A2"/>
    <w:multiLevelType w:val="hybridMultilevel"/>
    <w:tmpl w:val="B8B22A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C7937"/>
    <w:multiLevelType w:val="hybridMultilevel"/>
    <w:tmpl w:val="2886FC18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C558A"/>
    <w:multiLevelType w:val="hybridMultilevel"/>
    <w:tmpl w:val="07A0F19A"/>
    <w:lvl w:ilvl="0" w:tplc="F0D49E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F0D94"/>
    <w:multiLevelType w:val="hybridMultilevel"/>
    <w:tmpl w:val="7FA68B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6A7FA9"/>
    <w:multiLevelType w:val="hybridMultilevel"/>
    <w:tmpl w:val="A482BB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B46E73"/>
    <w:multiLevelType w:val="hybridMultilevel"/>
    <w:tmpl w:val="1B1EBCFC"/>
    <w:lvl w:ilvl="0" w:tplc="EE70014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50B"/>
    <w:multiLevelType w:val="hybridMultilevel"/>
    <w:tmpl w:val="0C9AEEA8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3F6E"/>
    <w:multiLevelType w:val="hybridMultilevel"/>
    <w:tmpl w:val="3F6C5B74"/>
    <w:lvl w:ilvl="0" w:tplc="F0D49E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4B0100"/>
    <w:multiLevelType w:val="hybridMultilevel"/>
    <w:tmpl w:val="66AE9464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9721D"/>
    <w:multiLevelType w:val="hybridMultilevel"/>
    <w:tmpl w:val="45A2B9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F92F94"/>
    <w:multiLevelType w:val="hybridMultilevel"/>
    <w:tmpl w:val="6D143B6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82D7EF6"/>
    <w:multiLevelType w:val="hybridMultilevel"/>
    <w:tmpl w:val="E90278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ABB03DD"/>
    <w:multiLevelType w:val="hybridMultilevel"/>
    <w:tmpl w:val="ABF8E7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4F147D"/>
    <w:multiLevelType w:val="hybridMultilevel"/>
    <w:tmpl w:val="262829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9D0870"/>
    <w:multiLevelType w:val="hybridMultilevel"/>
    <w:tmpl w:val="B89E0F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9974D5"/>
    <w:multiLevelType w:val="hybridMultilevel"/>
    <w:tmpl w:val="5BD46380"/>
    <w:lvl w:ilvl="0" w:tplc="F0D49EA0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90845"/>
    <w:multiLevelType w:val="hybridMultilevel"/>
    <w:tmpl w:val="F6A27080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7"/>
  </w:num>
  <w:num w:numId="5">
    <w:abstractNumId w:val="18"/>
  </w:num>
  <w:num w:numId="6">
    <w:abstractNumId w:val="16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doNotValidateAgainstSchema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umber" w:val="220000"/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Type" w:val="AllPages"/>
    <w:docVar w:name="DocIDTypist" w:val="False"/>
    <w:docVar w:name="LegacyDocIDRemoved" w:val="True"/>
    <w:docVar w:name="MatterNumber" w:val="624"/>
    <w:docVar w:name="NoDocID" w:val="True"/>
    <w:docVar w:name="SavedRange" w:val="2569;2569"/>
    <w:docVar w:name="SavedStatus" w:val="notSaved"/>
  </w:docVars>
  <w:rsids>
    <w:rsidRoot w:val="00DF5FB8"/>
    <w:rsid w:val="00005705"/>
    <w:rsid w:val="0001349C"/>
    <w:rsid w:val="00061301"/>
    <w:rsid w:val="00095759"/>
    <w:rsid w:val="00095A11"/>
    <w:rsid w:val="000D24BE"/>
    <w:rsid w:val="000F312D"/>
    <w:rsid w:val="00146F66"/>
    <w:rsid w:val="001D14D0"/>
    <w:rsid w:val="00283CAC"/>
    <w:rsid w:val="003F216C"/>
    <w:rsid w:val="00401C5E"/>
    <w:rsid w:val="00454E1E"/>
    <w:rsid w:val="00497898"/>
    <w:rsid w:val="00540FB2"/>
    <w:rsid w:val="00551E1A"/>
    <w:rsid w:val="006B10E8"/>
    <w:rsid w:val="006F1517"/>
    <w:rsid w:val="007C0BA2"/>
    <w:rsid w:val="007D1141"/>
    <w:rsid w:val="007D665A"/>
    <w:rsid w:val="008021F4"/>
    <w:rsid w:val="00812C10"/>
    <w:rsid w:val="009D3A6E"/>
    <w:rsid w:val="009D51A8"/>
    <w:rsid w:val="009D7FA4"/>
    <w:rsid w:val="00A633AA"/>
    <w:rsid w:val="00AD15EB"/>
    <w:rsid w:val="00B332C4"/>
    <w:rsid w:val="00B57063"/>
    <w:rsid w:val="00B72AF3"/>
    <w:rsid w:val="00B773B8"/>
    <w:rsid w:val="00C43AFE"/>
    <w:rsid w:val="00CA1904"/>
    <w:rsid w:val="00D8110E"/>
    <w:rsid w:val="00DB06B9"/>
    <w:rsid w:val="00DB660A"/>
    <w:rsid w:val="00DF5FB8"/>
    <w:rsid w:val="00E21493"/>
    <w:rsid w:val="00F67D76"/>
    <w:rsid w:val="00F738BA"/>
    <w:rsid w:val="00F976E9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oNotEmbedSmartTags/>
  <w:decimalSymbol w:val="."/>
  <w:listSeparator w:val=","/>
  <w14:docId w14:val="5C94F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both"/>
      <w:outlineLvl w:val="0"/>
    </w:pPr>
    <w:rPr>
      <w:rFonts w:ascii="Times New Roman Bold" w:hAnsi="Times New Roman Bold"/>
      <w:b/>
      <w:bCs/>
      <w:caps/>
      <w:kern w:val="24"/>
      <w:szCs w:val="32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jc w:val="both"/>
      <w:outlineLvl w:val="1"/>
    </w:pPr>
    <w:rPr>
      <w:bCs/>
      <w:iCs/>
      <w:kern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numPr>
        <w:ilvl w:val="2"/>
        <w:numId w:val="1"/>
      </w:numPr>
      <w:jc w:val="both"/>
      <w:outlineLvl w:val="2"/>
    </w:pPr>
    <w:rPr>
      <w:bCs/>
      <w:kern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jc w:val="both"/>
      <w:outlineLvl w:val="3"/>
    </w:pPr>
    <w:rPr>
      <w:bCs/>
      <w:kern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ind w:firstLine="720"/>
      <w:jc w:val="both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rPr>
      <w:rFonts w:ascii="Times New Roman Bold" w:hAnsi="Times New Roman Bold"/>
      <w:b/>
      <w:bCs/>
      <w:caps/>
      <w:kern w:val="24"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bCs/>
      <w:iCs/>
      <w:kern w:val="24"/>
      <w:sz w:val="24"/>
      <w:szCs w:val="28"/>
    </w:rPr>
  </w:style>
  <w:style w:type="character" w:customStyle="1" w:styleId="Heading4Char">
    <w:name w:val="Heading 4 Char"/>
    <w:basedOn w:val="DefaultParagraphFont"/>
    <w:link w:val="Heading4"/>
    <w:rPr>
      <w:bCs/>
      <w:kern w:val="24"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bCs/>
      <w:kern w:val="24"/>
      <w:sz w:val="24"/>
      <w:szCs w:val="2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ind w:left="720" w:hanging="720"/>
      <w:jc w:val="center"/>
    </w:pPr>
    <w:rPr>
      <w:rFonts w:ascii="Times New Roman Bold" w:eastAsiaTheme="majorEastAsia" w:hAnsi="Times New Roman Bold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 Bold" w:eastAsiaTheme="majorEastAsia" w:hAnsi="Times New Roman Bold" w:cstheme="majorBidi"/>
      <w:b/>
      <w:iCs/>
    </w:rPr>
  </w:style>
  <w:style w:type="paragraph" w:styleId="BlockText">
    <w:name w:val="Block Text"/>
    <w:basedOn w:val="Normal"/>
    <w:uiPriority w:val="99"/>
    <w:semiHidden/>
    <w:unhideWhenUsed/>
    <w:rPr>
      <w:rFonts w:eastAsiaTheme="minorEastAsia" w:cstheme="minorBidi"/>
      <w:iCs/>
    </w:rPr>
  </w:style>
  <w:style w:type="character" w:customStyle="1" w:styleId="DocID">
    <w:name w:val="DocID"/>
    <w:basedOn w:val="DefaultParagraphFont"/>
    <w:uiPriority w:val="1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Cs/>
      <w:iCs/>
      <w:sz w:val="24"/>
      <w:szCs w:val="26"/>
    </w:rPr>
  </w:style>
  <w:style w:type="paragraph" w:styleId="TOC1">
    <w:name w:val="toc 1"/>
    <w:basedOn w:val="Normal"/>
    <w:next w:val="Normal"/>
    <w:autoRedefine/>
  </w:style>
  <w:style w:type="paragraph" w:styleId="TOC3">
    <w:name w:val="toc 3"/>
    <w:basedOn w:val="Normal"/>
    <w:uiPriority w:val="39"/>
    <w:unhideWhenUsed/>
    <w:pPr>
      <w:spacing w:after="240"/>
      <w:ind w:left="144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E1E"/>
    <w:rPr>
      <w:b/>
      <w:bCs/>
    </w:rPr>
  </w:style>
  <w:style w:type="character" w:customStyle="1" w:styleId="apple-converted-space">
    <w:name w:val="apple-converted-space"/>
    <w:basedOn w:val="DefaultParagraphFont"/>
    <w:rsid w:val="00454E1E"/>
  </w:style>
  <w:style w:type="paragraph" w:styleId="NormalWeb">
    <w:name w:val="Normal (Web)"/>
    <w:basedOn w:val="Normal"/>
    <w:uiPriority w:val="99"/>
    <w:semiHidden/>
    <w:unhideWhenUsed/>
    <w:rsid w:val="00454E1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454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0FB2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FB2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both"/>
      <w:outlineLvl w:val="0"/>
    </w:pPr>
    <w:rPr>
      <w:rFonts w:ascii="Times New Roman Bold" w:hAnsi="Times New Roman Bold"/>
      <w:b/>
      <w:bCs/>
      <w:caps/>
      <w:kern w:val="24"/>
      <w:szCs w:val="32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jc w:val="both"/>
      <w:outlineLvl w:val="1"/>
    </w:pPr>
    <w:rPr>
      <w:bCs/>
      <w:iCs/>
      <w:kern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numPr>
        <w:ilvl w:val="2"/>
        <w:numId w:val="1"/>
      </w:numPr>
      <w:jc w:val="both"/>
      <w:outlineLvl w:val="2"/>
    </w:pPr>
    <w:rPr>
      <w:bCs/>
      <w:kern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jc w:val="both"/>
      <w:outlineLvl w:val="3"/>
    </w:pPr>
    <w:rPr>
      <w:bCs/>
      <w:kern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ind w:firstLine="720"/>
      <w:jc w:val="both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rPr>
      <w:rFonts w:ascii="Times New Roman Bold" w:hAnsi="Times New Roman Bold"/>
      <w:b/>
      <w:bCs/>
      <w:caps/>
      <w:kern w:val="24"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bCs/>
      <w:iCs/>
      <w:kern w:val="24"/>
      <w:sz w:val="24"/>
      <w:szCs w:val="28"/>
    </w:rPr>
  </w:style>
  <w:style w:type="character" w:customStyle="1" w:styleId="Heading4Char">
    <w:name w:val="Heading 4 Char"/>
    <w:basedOn w:val="DefaultParagraphFont"/>
    <w:link w:val="Heading4"/>
    <w:rPr>
      <w:bCs/>
      <w:kern w:val="24"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bCs/>
      <w:kern w:val="24"/>
      <w:sz w:val="24"/>
      <w:szCs w:val="2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ind w:left="720" w:hanging="720"/>
      <w:jc w:val="center"/>
    </w:pPr>
    <w:rPr>
      <w:rFonts w:ascii="Times New Roman Bold" w:eastAsiaTheme="majorEastAsia" w:hAnsi="Times New Roman Bold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 Bold" w:eastAsiaTheme="majorEastAsia" w:hAnsi="Times New Roman Bold" w:cstheme="majorBidi"/>
      <w:b/>
      <w:iCs/>
    </w:rPr>
  </w:style>
  <w:style w:type="paragraph" w:styleId="BlockText">
    <w:name w:val="Block Text"/>
    <w:basedOn w:val="Normal"/>
    <w:uiPriority w:val="99"/>
    <w:semiHidden/>
    <w:unhideWhenUsed/>
    <w:rPr>
      <w:rFonts w:eastAsiaTheme="minorEastAsia" w:cstheme="minorBidi"/>
      <w:iCs/>
    </w:rPr>
  </w:style>
  <w:style w:type="character" w:customStyle="1" w:styleId="DocID">
    <w:name w:val="DocID"/>
    <w:basedOn w:val="DefaultParagraphFont"/>
    <w:uiPriority w:val="1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Cs/>
      <w:iCs/>
      <w:sz w:val="24"/>
      <w:szCs w:val="26"/>
    </w:rPr>
  </w:style>
  <w:style w:type="paragraph" w:styleId="TOC1">
    <w:name w:val="toc 1"/>
    <w:basedOn w:val="Normal"/>
    <w:next w:val="Normal"/>
    <w:autoRedefine/>
  </w:style>
  <w:style w:type="paragraph" w:styleId="TOC3">
    <w:name w:val="toc 3"/>
    <w:basedOn w:val="Normal"/>
    <w:uiPriority w:val="39"/>
    <w:unhideWhenUsed/>
    <w:pPr>
      <w:spacing w:after="240"/>
      <w:ind w:left="144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E1E"/>
    <w:rPr>
      <w:b/>
      <w:bCs/>
    </w:rPr>
  </w:style>
  <w:style w:type="character" w:customStyle="1" w:styleId="apple-converted-space">
    <w:name w:val="apple-converted-space"/>
    <w:basedOn w:val="DefaultParagraphFont"/>
    <w:rsid w:val="00454E1E"/>
  </w:style>
  <w:style w:type="paragraph" w:styleId="NormalWeb">
    <w:name w:val="Normal (Web)"/>
    <w:basedOn w:val="Normal"/>
    <w:uiPriority w:val="99"/>
    <w:semiHidden/>
    <w:unhideWhenUsed/>
    <w:rsid w:val="00454E1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454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0FB2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FB2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0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48F0A4FF7A54F9F09D77367718469" ma:contentTypeVersion="4" ma:contentTypeDescription="Create a new document." ma:contentTypeScope="" ma:versionID="7d2ec71f6f7ace79e5cb7e80e99e7e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c493886292dcd174e9d59315e71ab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ECE2-05BE-415B-8363-23814CE21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565D2-6929-44E6-9666-5FD1C3EECD49}">
  <ds:schemaRefs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340313-8B3D-4C0E-8273-3E85228E1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A1ECF-152D-434A-88C6-97F74987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6209</Characters>
  <Application>Microsoft Office Word</Application>
  <DocSecurity>4</DocSecurity>
  <Lines>200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Faegre &amp; Benson LLP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Storey, Deanna  M.</dc:creator>
  <cp:lastModifiedBy>Hegna, Mesha M.</cp:lastModifiedBy>
  <cp:revision>2</cp:revision>
  <cp:lastPrinted>2017-12-12T21:41:00Z</cp:lastPrinted>
  <dcterms:created xsi:type="dcterms:W3CDTF">2018-01-10T22:54:00Z</dcterms:created>
  <dcterms:modified xsi:type="dcterms:W3CDTF">2018-01-10T22:54:00Z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0x01010037048F0A4FF7A54F9F09D77367718469</vt:lpwstr>
  </property>
</Properties>
</file>